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>
          <w:rFonts w:cs="Arial"/>
        </w:rPr>
        <w:t xml:space="preserve"> 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>
      <w:pPr>
        <w:pStyle w:val="Normal"/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ПОСТАНОВЛЕНИЕ 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>
          <w:rFonts w:cs="Arial"/>
        </w:rPr>
      </w:pPr>
      <w:r>
        <w:rPr>
          <w:rFonts w:cs="Arial"/>
          <w:spacing w:val="-14"/>
        </w:rPr>
        <w:t xml:space="preserve">От     </w:t>
      </w:r>
      <w:r>
        <w:rPr>
          <w:rFonts w:cs="Arial"/>
          <w:spacing w:val="-14"/>
        </w:rPr>
        <w:t>28.</w:t>
      </w:r>
      <w:r>
        <w:rPr>
          <w:rFonts w:cs="Arial"/>
          <w:spacing w:val="-14"/>
        </w:rPr>
        <w:t xml:space="preserve">12. 2020 года  </w:t>
      </w:r>
      <w:r>
        <w:rPr>
          <w:rFonts w:cs="Arial"/>
        </w:rPr>
        <w:t xml:space="preserve">№ </w:t>
      </w:r>
      <w:r>
        <w:rPr>
          <w:rFonts w:cs="Arial"/>
        </w:rPr>
        <w:t>88</w:t>
      </w:r>
      <w:r>
        <w:rPr>
          <w:rFonts w:cs="Arial"/>
        </w:rPr>
        <w:t xml:space="preserve">  </w:t>
      </w:r>
    </w:p>
    <w:p>
      <w:pPr>
        <w:pStyle w:val="Normal"/>
        <w:shd w:val="clear" w:color="auto" w:fill="FFFFFF"/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>с. Поповка</w:t>
      </w:r>
    </w:p>
    <w:tbl>
      <w:tblPr>
        <w:tblW w:w="95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22"/>
        <w:gridCol w:w="243"/>
      </w:tblGrid>
      <w:tr>
        <w:trPr>
          <w:trHeight w:val="1378" w:hRule="atLeast"/>
        </w:trPr>
        <w:tc>
          <w:tcPr>
            <w:tcW w:w="9322" w:type="dxa"/>
            <w:tcBorders/>
            <w:shd w:color="auto"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>
                <w:b w:val="false"/>
                <w:spacing w:val="-9"/>
                <w:sz w:val="24"/>
                <w:szCs w:val="24"/>
              </w:rPr>
              <w:t xml:space="preserve"> </w:t>
            </w:r>
            <w:r>
              <w:rPr/>
              <w:t>О внесении изменений в постановление администрации Поповского сельского поселения от 22.01.2014 г. №10 «Об утверждении муниципальной программы Поповского сельского поселения «Развитие физической культуры и спорта»</w:t>
            </w:r>
          </w:p>
        </w:tc>
        <w:tc>
          <w:tcPr>
            <w:tcW w:w="243" w:type="dxa"/>
            <w:tcBorders/>
            <w:shd w:color="auto"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от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 88 от 26.11.2018г., №24 от22.04.2019г.)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П О С Т А Н О В Л Я Е 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1. Внести  в постановление администрации Поповского сельского поселения Россошанского муниципального района Воронежской области </w:t>
      </w:r>
      <w:r>
        <w:rPr>
          <w:rFonts w:cs="Arial"/>
          <w:kern w:val="2"/>
        </w:rPr>
        <w:t>от 22.01.2014 года № 10 «Об утверждении</w:t>
      </w:r>
      <w:r>
        <w:rPr>
          <w:rFonts w:cs="Arial"/>
        </w:rPr>
        <w:t xml:space="preserve"> муниципальной программы Поповского сельского поселения «Развитие физической культуры и спорта»  следующие изменения :</w:t>
      </w:r>
    </w:p>
    <w:p>
      <w:pPr>
        <w:pStyle w:val="Normal"/>
        <w:ind w:firstLine="709"/>
        <w:rPr>
          <w:rFonts w:cs="Arial"/>
        </w:rPr>
      </w:pPr>
      <w:r>
        <w:rPr>
          <w:kern w:val="2"/>
        </w:rPr>
        <w:t>1)Изложить муниципальную программу в новой редакции согласно приложению</w:t>
      </w:r>
      <w:r>
        <w:rPr>
          <w:rFonts w:cs="Arial"/>
        </w:rPr>
        <w:t>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Настоящее постановление подлежит  опубликованию 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3. Контроль исполнения настоящего постановления возложить на главу Поповского сельского поселения Соломатина С.В.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3"/>
        <w:gridCol w:w="3287"/>
      </w:tblGrid>
      <w:tr>
        <w:trPr/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Глава Поповского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3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87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С.В.Соломатин</w:t>
            </w:r>
          </w:p>
        </w:tc>
      </w:tr>
    </w:tbl>
    <w:p>
      <w:pPr>
        <w:pStyle w:val="Normal"/>
        <w:ind w:firstLine="5245"/>
        <w:jc w:val="left"/>
        <w:rPr>
          <w:rFonts w:cs="Arial"/>
        </w:rPr>
      </w:pPr>
      <w:r>
        <w:br w:type="page"/>
      </w:r>
      <w:r>
        <w:rPr>
          <w:rFonts w:cs="Arial"/>
        </w:rPr>
        <w:t xml:space="preserve">Приложение </w:t>
      </w:r>
    </w:p>
    <w:p>
      <w:pPr>
        <w:pStyle w:val="Normal"/>
        <w:ind w:firstLine="5245"/>
        <w:jc w:val="left"/>
        <w:rPr>
          <w:rFonts w:cs="Arial"/>
        </w:rPr>
      </w:pPr>
      <w:r>
        <w:rPr>
          <w:rFonts w:cs="Arial"/>
        </w:rPr>
        <w:t>к постановлению администрации</w:t>
      </w:r>
    </w:p>
    <w:p>
      <w:pPr>
        <w:pStyle w:val="Normal"/>
        <w:ind w:firstLine="5245"/>
        <w:jc w:val="left"/>
        <w:rPr>
          <w:rFonts w:cs="Arial"/>
        </w:rPr>
      </w:pPr>
      <w:r>
        <w:rPr>
          <w:rFonts w:cs="Arial"/>
        </w:rPr>
        <w:t>Поповского сельского поселения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ind w:hanging="0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</w:t>
      </w:r>
      <w:r>
        <w:rPr>
          <w:rFonts w:cs="Arial"/>
        </w:rPr>
        <w:t xml:space="preserve">от 22.01.2014года №10,о(в ред от                 </w:t>
      </w:r>
    </w:p>
    <w:p>
      <w:pPr>
        <w:pStyle w:val="Normal"/>
        <w:ind w:hanging="0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</w:t>
      </w:r>
      <w:r>
        <w:rPr>
          <w:rFonts w:cs="Arial"/>
        </w:rPr>
        <w:t xml:space="preserve">19.01.2015г №7,от 15.02.2016 №16,                           </w:t>
      </w:r>
    </w:p>
    <w:p>
      <w:pPr>
        <w:pStyle w:val="Normal"/>
        <w:ind w:firstLine="5245"/>
        <w:jc w:val="left"/>
        <w:rPr>
          <w:rFonts w:cs="Arial"/>
        </w:rPr>
      </w:pPr>
      <w:r>
        <w:rPr>
          <w:rFonts w:cs="Arial"/>
        </w:rPr>
        <w:t>от 10.03.2017г №16, от 19</w:t>
      </w:r>
      <w:r>
        <w:rPr>
          <w:rFonts w:cs="Arial"/>
          <w:spacing w:val="-14"/>
        </w:rPr>
        <w:t>.02. 2018 г.</w:t>
      </w:r>
    </w:p>
    <w:p>
      <w:pPr>
        <w:pStyle w:val="Normal"/>
        <w:ind w:hanging="0"/>
        <w:jc w:val="left"/>
        <w:rPr>
          <w:rFonts w:cs="Arial"/>
        </w:rPr>
      </w:pPr>
      <w:r>
        <w:rPr>
          <w:rFonts w:cs="Arial"/>
          <w:spacing w:val="-14"/>
        </w:rPr>
        <w:t xml:space="preserve">                                                                                                   </w:t>
      </w:r>
      <w:r>
        <w:rPr>
          <w:rFonts w:cs="Arial"/>
        </w:rPr>
        <w:t>№</w:t>
      </w:r>
      <w:r>
        <w:rPr>
          <w:rFonts w:cs="Arial"/>
        </w:rPr>
        <w:t>13,от 04.03.2019 №18,</w:t>
      </w:r>
    </w:p>
    <w:p>
      <w:pPr>
        <w:pStyle w:val="Normal"/>
        <w:ind w:hanging="0"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</w:t>
      </w:r>
      <w:r>
        <w:rPr>
          <w:rFonts w:cs="Arial"/>
        </w:rPr>
        <w:t>от 17.03.2020 № 15).</w:t>
      </w:r>
    </w:p>
    <w:p>
      <w:pPr>
        <w:pStyle w:val="Normal"/>
        <w:ind w:firstLine="5245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Муниципальная программа Поповского сельского поселения</w:t>
      </w:r>
    </w:p>
    <w:p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и спорта»</w:t>
      </w:r>
    </w:p>
    <w:p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Поповского сельского поселения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 xml:space="preserve">«Развитие физической культуры и спорта»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2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49"/>
        <w:gridCol w:w="6379"/>
      </w:tblGrid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Администрация Поповского сельского поселения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Администрация Поповского сельского поселения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Администрация Поповского сельского поселения</w:t>
            </w:r>
          </w:p>
        </w:tc>
      </w:tr>
      <w:tr>
        <w:trPr>
          <w:trHeight w:val="112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Подпрограммы муниципальной программы и основные мероприятия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программы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№1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«Финансовое обеспечение муниципального казенного учреждения Поповского сельского поселения «Спорт»» 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Основное мероприятие 1: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Финансовое обеспечение деятельности в области физкультуры и спорта.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7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Поповских спортсменов  на районных и областных соревнованиях, а также успешное проведение на территории Поповского сельского поселения спортивных соревнований.</w:t>
            </w:r>
          </w:p>
        </w:tc>
      </w:tr>
      <w:tr>
        <w:trPr>
          <w:trHeight w:val="37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>
            <w:pPr>
              <w:pStyle w:val="12"/>
              <w:numPr>
                <w:ilvl w:val="0"/>
                <w:numId w:val="2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обеспечение успешного выступления Поповских спортсменов на районных и областных спортивных соревнованиях;</w:t>
            </w:r>
          </w:p>
          <w:p>
            <w:pPr>
              <w:pStyle w:val="12"/>
              <w:ind w:left="0" w:hanging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- обеспечение  эффективного использования  спортивных объектов. 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2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-Доля граждан Поповского сельского поселения, систематически занимающихся физической культурой и спортом, в общей численности населения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>
            <w:pPr>
              <w:pStyle w:val="12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Программа реализуется в 1 этап продолжительностью 8 лет: 2014-2021 годы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266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ind w:firstLine="318"/>
              <w:rPr>
                <w:bCs/>
              </w:rPr>
            </w:pPr>
            <w:r>
              <w:rPr/>
              <w:t>О</w:t>
            </w:r>
            <w:r>
              <w:rPr>
                <w:bCs/>
              </w:rPr>
              <w:t xml:space="preserve">бъем финансирования  на реализацию Программы составляет 15810,50452 тыс. </w:t>
            </w:r>
            <w:r>
              <w:rPr/>
              <w:t>рублей за счет средств местного бюджета,</w:t>
            </w:r>
          </w:p>
          <w:p>
            <w:pPr>
              <w:pStyle w:val="Normal"/>
              <w:ind w:firstLine="318"/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  <w:p>
            <w:pPr>
              <w:pStyle w:val="Normal"/>
              <w:ind w:firstLine="318"/>
              <w:rPr>
                <w:bCs/>
              </w:rPr>
            </w:pPr>
            <w:r>
              <w:rPr>
                <w:bCs/>
              </w:rPr>
              <w:t>2014</w:t>
            </w:r>
            <w:r>
              <w:rPr/>
              <w:t xml:space="preserve"> г. – 1210,12452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/>
            </w:pPr>
            <w:r>
              <w:rPr>
                <w:bCs/>
              </w:rPr>
              <w:t>2015</w:t>
            </w:r>
            <w:r>
              <w:rPr/>
              <w:t xml:space="preserve"> г. – 1587,8 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/>
            </w:pPr>
            <w:r>
              <w:rPr/>
              <w:t xml:space="preserve">2016 г. – 2089,2 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/>
            </w:pPr>
            <w:r>
              <w:rPr/>
              <w:t xml:space="preserve">2017 г. – 2554,05 </w:t>
            </w:r>
            <w:r>
              <w:rPr>
                <w:bCs/>
              </w:rPr>
              <w:t xml:space="preserve">тыс. </w:t>
            </w:r>
            <w:r>
              <w:rPr/>
              <w:t>рублей,</w:t>
            </w:r>
          </w:p>
          <w:p>
            <w:pPr>
              <w:pStyle w:val="Normal"/>
              <w:ind w:firstLine="318"/>
              <w:rPr/>
            </w:pPr>
            <w:r>
              <w:rPr/>
              <w:t xml:space="preserve">2018 г. – 2240,23 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>
                <w:bCs/>
              </w:rPr>
            </w:pPr>
            <w:r>
              <w:rPr/>
              <w:t xml:space="preserve">2019 г. – 2552,1 </w:t>
            </w:r>
            <w:r>
              <w:rPr>
                <w:bCs/>
              </w:rPr>
              <w:t xml:space="preserve">тыс. </w:t>
            </w:r>
            <w:r>
              <w:rPr/>
              <w:t>рублей,</w:t>
            </w:r>
          </w:p>
          <w:p>
            <w:pPr>
              <w:pStyle w:val="Normal"/>
              <w:ind w:hanging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>2020 г. – 2399,6 тыс.рублей,</w:t>
            </w:r>
          </w:p>
          <w:p>
            <w:pPr>
              <w:pStyle w:val="Normal"/>
              <w:ind w:hanging="0"/>
              <w:rPr>
                <w:rFonts w:cs="Arial"/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>2021 г. – 1177,4 тыс.рублей.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2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12"/>
              <w:numPr>
                <w:ilvl w:val="0"/>
                <w:numId w:val="3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>
            <w:pPr>
              <w:pStyle w:val="12"/>
              <w:numPr>
                <w:ilvl w:val="0"/>
                <w:numId w:val="3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увеличение количества физкультурных и спортивных мероприятий;</w:t>
            </w:r>
          </w:p>
          <w:p>
            <w:pPr>
              <w:pStyle w:val="12"/>
              <w:numPr>
                <w:ilvl w:val="0"/>
                <w:numId w:val="3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увеличение численности лиц, систематически занимающихся физической культурой и спортом на территории Поповского сельского поселения;</w:t>
            </w:r>
          </w:p>
          <w:p>
            <w:pPr>
              <w:pStyle w:val="12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1.ОБЩАЯ ХАРАКТЕРИСТИКА СФЕРЫ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 программа Поповского сельского поселения «Развитие физической культуры и спорта» разработана во исполнение распоряжения администрации Поповского сельского поселения Россошанского муниципального района от 16.12.2013 № 51 «Об утверждении перечня муниципальных программ Поповского сельского поселения Россошанского муниципального района».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Основополагающей задачей развития  Поповского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Поповского сельского поселения на областных и районных спортивных соревнованиях. 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Однако в настоящее время в работе по развитию физической культуры и спорта имеются нерешенные проблемы:</w:t>
      </w:r>
    </w:p>
    <w:p>
      <w:pPr>
        <w:pStyle w:val="12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>
      <w:pPr>
        <w:pStyle w:val="12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>недостаточный уровень пропаганды ценностей физической культуры и спорта;</w:t>
      </w:r>
    </w:p>
    <w:p>
      <w:pPr>
        <w:pStyle w:val="12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иметь следующий социальный эффект: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профилактика правонарушений среди подростковой молодежи.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К приоритетным направлениям реализации Программы относятся: 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развитие физической культуры и массового спорта;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подготовка и проведение зональных  мероприятий на территории Поповского сельского поселения;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повышение эффективности управления развитием отрасли физической культуры и спорта.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совершенствование соответствующей нормативной правовой базы;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развитие спортивной инфраструктуры;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совершенствование управления сферой физической культуры и спорта;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 xml:space="preserve">обеспечение эффективного и качественного управления средствами муниципального бюджета и использования муниципального имущества. 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Цель Программы - создание условий, обеспечивающих возможность гражданам систематически заниматься физической культурой и спортом.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Задачи Программы:</w:t>
      </w:r>
    </w:p>
    <w:p>
      <w:pPr>
        <w:pStyle w:val="12"/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>
      <w:pPr>
        <w:pStyle w:val="12"/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>обеспечение успешного выступления Поповских спортсменов на районных и областных спортивных соревнованиях;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 обеспечение эффективного использования  спортивных объектов.  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Целевые индикаторы и показатели Программы: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- Доля граждан Поповского сельского поселения, систематически занимающихся физической культурой и спортом, в общей численности населения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-Количество мероприятий направленных на пропаганду физкультуры и спорта. 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Программа реализуется в 1 этап продолжительностью 8 лет: 2014-2021 годы.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 итогам реализации Программы ожидается достижение следующих показателей: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повышение потребности населения в активном и здоровом образе жизни;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увеличение количества физкультурных и спортивных мероприятий;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увеличение численности лиц, систематически занимающихся физической культурой и спортом на территории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улучшение информационно-методического обеспечения и пропаганды физической культуры, спорта и здорового образа жизни. 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 xml:space="preserve">3.ОБОСНОВАНИЕ ВЫДЕЛЕНИЯ ПОДПРОГРАММ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Основные направления Программы, выделились в одну подпрограмму: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Подпрограмма №1 «Развитие физической культуры и спорта в Поповском сельском поселении»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4.ОБОБЩЕННАЯ ХАРАКТЕРИСТИКА ОСНОВНЫХ МЕРОПРИЯТИЙ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Основными мероприятиями Программы являются: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-Вовлечение населения в занятия физической культурой и массовым спортом;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Обеспечение участия Поповских спортсменов в районных и областных  спортивных мероприятиях;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Организация мероприятий направленных на пропаганду физической культуры и спорта.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Сроки реализации: 2014-2021 годы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Исполнитель мероприятий: Администрация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рамках основных  мероприятий будет осуществлено: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Участие Поповских спортсменов в районных и областных спортивных мероприятиях;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Оснащение сборных команд Поповского сельского поселения по видам спорта необходимым спортивным оборудованием и инвентарем для успешного выступления.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Основные мероприятия направлены на достижение показателей: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численность лиц, систематически занимающихся физической культурой и спортом.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- Увеличится количество проведенных физкультурно-оздоровительных и спортивно-массовых мероприятий, проводимых на территории Поповского сельского поселения;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- Улучшение результатов участия команд Поповского сельского поселения по видам спорта на соревнованиях зонального и областного уровня;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 ФИНАНСОВЫЕ ОБЕСПЕЧЕНИЕ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Объем финансирования подпрограммы муниципальной программы подлежит ежегодному уточнению.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6. Анализ рисков реализации муниципальной программы и описание мер управления рисками реализации муниципальной программы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муниципальной программы следует отнести: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Поповского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2" w:leader="none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7. Оценка эффективности реализации муниципальной программы 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</w:rPr>
        <w:t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Поповского сельского поселения Россошанского муниципального района.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57175"/>
            <wp:effectExtent l="0" t="0" r="0" b="0"/>
            <wp:docPr id="1" name="Рисунок 6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57175"/>
            <wp:effectExtent l="0" t="0" r="0" b="0"/>
            <wp:docPr id="2" name="Рисунок 6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209550" cy="257175"/>
            <wp:effectExtent l="0" t="0" r="0" b="0"/>
            <wp:docPr id="3" name="Рисунок 6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61925" cy="219075"/>
            <wp:effectExtent l="0" t="0" r="0" b="0"/>
            <wp:docPr id="4" name="Рисунок 6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2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57175"/>
            <wp:effectExtent l="0" t="0" r="0" b="0"/>
            <wp:docPr id="5" name="Рисунок 6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2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457325" cy="257175"/>
            <wp:effectExtent l="0" t="0" r="0" b="0"/>
            <wp:docPr id="6" name="Рисунок 6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57175"/>
            <wp:effectExtent l="0" t="0" r="0" b="0"/>
            <wp:docPr id="7" name="Рисунок 6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57175" cy="257175"/>
            <wp:effectExtent l="0" t="0" r="0" b="0"/>
            <wp:docPr id="8" name="Рисунок 6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57175"/>
            <wp:effectExtent l="0" t="0" r="0" b="0"/>
            <wp:docPr id="9" name="Рисунок 6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2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10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 Подпрограммы муниципальной программы </w:t>
      </w:r>
    </w:p>
    <w:p>
      <w:pPr>
        <w:pStyle w:val="Normal"/>
        <w:shd w:val="clear" w:color="auto" w:fill="FFFFFF"/>
        <w:ind w:firstLine="709"/>
        <w:rPr>
          <w:rFonts w:eastAsia="Arial" w:cs="Arial"/>
          <w:lang w:eastAsia="en-US"/>
        </w:rPr>
      </w:pPr>
      <w:r>
        <w:rPr>
          <w:rFonts w:cs="Arial"/>
        </w:rPr>
        <w:t xml:space="preserve">Программа </w:t>
      </w:r>
      <w:r>
        <w:rPr>
          <w:rFonts w:cs="Arial"/>
          <w:kern w:val="2"/>
        </w:rPr>
        <w:t>«</w:t>
      </w:r>
      <w:r>
        <w:rPr>
          <w:rFonts w:cs="Arial"/>
        </w:rPr>
        <w:t>Развитие физической культуры и спорта</w:t>
      </w:r>
      <w:r>
        <w:rPr>
          <w:rFonts w:eastAsia="Arial" w:cs="Arial"/>
          <w:lang w:eastAsia="en-US"/>
        </w:rPr>
        <w:t>» включает подпрограмму: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«Финансовое обеспечение муниципального казенного учреждения физической культуры и спорта Поповского сельского поселения «Спорт»» </w:t>
      </w:r>
    </w:p>
    <w:p>
      <w:pPr>
        <w:pStyle w:val="Normal"/>
        <w:ind w:firstLine="709"/>
        <w:rPr/>
      </w:pPr>
      <w:r>
        <w:rPr>
          <w:rFonts w:cs="Arial"/>
        </w:rPr>
        <w:t xml:space="preserve"> </w:t>
      </w:r>
      <w:r>
        <w:rPr>
          <w:rFonts w:cs="Arial"/>
        </w:rPr>
        <w:t xml:space="preserve">8.1. Паспорт </w:t>
      </w:r>
      <w:r>
        <w:rPr/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подпрограммы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W w:w="92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49"/>
        <w:gridCol w:w="6379"/>
      </w:tblGrid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Администрация Поповского сельского поселения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Администрация Поповского сельского поселения</w:t>
            </w:r>
          </w:p>
        </w:tc>
      </w:tr>
      <w:tr>
        <w:trPr>
          <w:trHeight w:val="112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мероприятия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подпрограммы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1: Финансовое обеспечение деятельности в области физкультуры и спорта. 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7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12"/>
              <w:numPr>
                <w:ilvl w:val="0"/>
                <w:numId w:val="1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Поповских спортсменов  на районных и областных соревнованиях, а также успешное проведение на территории Поповского сельского поселения спортивных соревнований.</w:t>
            </w:r>
          </w:p>
        </w:tc>
      </w:tr>
      <w:tr>
        <w:trPr>
          <w:trHeight w:val="37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>
            <w:pPr>
              <w:pStyle w:val="12"/>
              <w:numPr>
                <w:ilvl w:val="0"/>
                <w:numId w:val="2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обеспечение успешного выступления Поповских спортсменов на районных и областных спортивных соревнованиях;</w:t>
            </w:r>
          </w:p>
          <w:p>
            <w:pPr>
              <w:pStyle w:val="12"/>
              <w:ind w:left="0" w:hanging="0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- обеспечение  эффективного использования  спортивных объектов. 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2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-Доля граждан Поповского сельского поселения, систематически занимающихся физической культурой и спортом, в общей численности населения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>
            <w:pPr>
              <w:pStyle w:val="12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>
        <w:trPr>
          <w:trHeight w:val="75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реализуется в 1 этап продолжительностью 8 лет: 2014-2021 годы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266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ind w:firstLine="318"/>
              <w:rPr>
                <w:bCs/>
              </w:rPr>
            </w:pPr>
            <w:r>
              <w:rPr/>
              <w:t>О</w:t>
            </w:r>
            <w:r>
              <w:rPr>
                <w:bCs/>
              </w:rPr>
              <w:t xml:space="preserve">бъем финансирования  на реализацию подпрограммы составляет 15810,0452 тыс. </w:t>
            </w:r>
            <w:r>
              <w:rPr/>
              <w:t>рублей за счет средств местного бюджета,</w:t>
            </w:r>
          </w:p>
          <w:p>
            <w:pPr>
              <w:pStyle w:val="Normal"/>
              <w:ind w:firstLine="318"/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  <w:p>
            <w:pPr>
              <w:pStyle w:val="Normal"/>
              <w:ind w:firstLine="318"/>
              <w:rPr>
                <w:bCs/>
              </w:rPr>
            </w:pPr>
            <w:r>
              <w:rPr>
                <w:bCs/>
              </w:rPr>
              <w:t>2014</w:t>
            </w:r>
            <w:r>
              <w:rPr/>
              <w:t xml:space="preserve"> г. – 1210,12452 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/>
            </w:pPr>
            <w:r>
              <w:rPr>
                <w:bCs/>
              </w:rPr>
              <w:t>2015</w:t>
            </w:r>
            <w:r>
              <w:rPr/>
              <w:t xml:space="preserve"> г. –  1587,8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/>
            </w:pPr>
            <w:r>
              <w:rPr/>
              <w:t xml:space="preserve">2016 г. – 2089,2 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/>
            </w:pPr>
            <w:r>
              <w:rPr/>
              <w:t>2017 г. – 2554,05</w:t>
            </w:r>
            <w:r>
              <w:rPr>
                <w:bCs/>
              </w:rPr>
              <w:t xml:space="preserve">тыс. </w:t>
            </w:r>
            <w:r>
              <w:rPr/>
              <w:t>рублей,</w:t>
            </w:r>
          </w:p>
          <w:p>
            <w:pPr>
              <w:pStyle w:val="Normal"/>
              <w:ind w:firstLine="318"/>
              <w:rPr/>
            </w:pPr>
            <w:r>
              <w:rPr/>
              <w:t xml:space="preserve">2018 г. – 2240,23 </w:t>
            </w:r>
            <w:r>
              <w:rPr>
                <w:bCs/>
              </w:rPr>
              <w:t xml:space="preserve">тыс. </w:t>
            </w:r>
            <w:r>
              <w:rPr/>
              <w:t>рублей</w:t>
            </w:r>
            <w:r>
              <w:rPr>
                <w:bCs/>
              </w:rPr>
              <w:t>,</w:t>
            </w:r>
          </w:p>
          <w:p>
            <w:pPr>
              <w:pStyle w:val="Normal"/>
              <w:ind w:firstLine="318"/>
              <w:rPr>
                <w:bCs/>
              </w:rPr>
            </w:pPr>
            <w:r>
              <w:rPr/>
              <w:t xml:space="preserve">2019 г. – 2552,1 </w:t>
            </w:r>
            <w:r>
              <w:rPr>
                <w:bCs/>
              </w:rPr>
              <w:t xml:space="preserve">тыс. </w:t>
            </w:r>
            <w:r>
              <w:rPr/>
              <w:t>рублей,</w:t>
            </w:r>
          </w:p>
          <w:p>
            <w:pPr>
              <w:pStyle w:val="Normal"/>
              <w:ind w:hanging="0"/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>2020 г. – 2399,6 тыс.рублей,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bCs/>
              </w:rPr>
              <w:t xml:space="preserve">     </w:t>
            </w:r>
            <w:r>
              <w:rPr>
                <w:bCs/>
              </w:rPr>
              <w:t>2021 г. – 1177,4 тыс.рублей</w:t>
            </w:r>
          </w:p>
        </w:tc>
      </w:tr>
      <w:tr>
        <w:trPr>
          <w:trHeight w:val="112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12"/>
              <w:numPr>
                <w:ilvl w:val="0"/>
                <w:numId w:val="3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>
            <w:pPr>
              <w:pStyle w:val="12"/>
              <w:numPr>
                <w:ilvl w:val="0"/>
                <w:numId w:val="3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увеличение количества физкультурных и спортивных мероприятий;</w:t>
            </w:r>
          </w:p>
          <w:p>
            <w:pPr>
              <w:pStyle w:val="12"/>
              <w:numPr>
                <w:ilvl w:val="0"/>
                <w:numId w:val="3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увеличение численности лиц, систематически занимающихся физической культурой и спортом на территории Поповского сельского поселения;</w:t>
            </w:r>
          </w:p>
          <w:p>
            <w:pPr>
              <w:pStyle w:val="12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8.2. ХАРАКТЕРИСТИКА СФЕРЫ РЕАЛИЗАЦИИ ПОДПРОГРАММЫ, ОПИСАНИЕ ОСНОВНЫХ ПРОБЛЕМ В УКАЗАННОЙ СФЕРЕ И ПРОГНОЗ ЕЕ РАЗВИТИЯ 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Однако в настоящее время в работе по развитию физической культуры и спорта имеются нерешенные проблемы:</w:t>
      </w:r>
    </w:p>
    <w:p>
      <w:pPr>
        <w:pStyle w:val="12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>
      <w:pPr>
        <w:pStyle w:val="12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>недостаточный уровень пропаганды ценностей физической культуры и спорта;</w:t>
      </w:r>
    </w:p>
    <w:p>
      <w:pPr>
        <w:pStyle w:val="12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Реализация Программы позволит за семь лет при максимально спланированном и эффективном управлении финансами решить значительную часть указанных проблем.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иметь следующий социальный эффект: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укрепление материально-технической базы физической культуры и спорта;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профилактика правонарушений среди подростковой молодежи. 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К приоритетным направлениям реализации подпрограммы относятся: 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развитие физической культуры и массового спорта;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подготовка и проведение зональных  мероприятий на территории Поповского сельского поселения;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повышение эффективности управления развитием отрасли физической культуры и спорта.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совершенствование соответствующей нормативной правовой базы;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развитие спортивной инфраструктуры;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совершенствование управления сферой физической культуры и спорта;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>
      <w:pPr>
        <w:pStyle w:val="12"/>
        <w:numPr>
          <w:ilvl w:val="0"/>
          <w:numId w:val="5"/>
        </w:numPr>
        <w:ind w:left="0" w:firstLine="709"/>
        <w:rPr>
          <w:rFonts w:cs="Arial"/>
        </w:rPr>
      </w:pPr>
      <w:r>
        <w:rPr>
          <w:rFonts w:cs="Arial"/>
        </w:rPr>
        <w:t xml:space="preserve">обеспечение эффективного и качественного управления средствами муниципального бюджета и использования муниципального имущества. 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Задачи подпрограммы:</w:t>
      </w:r>
    </w:p>
    <w:p>
      <w:pPr>
        <w:pStyle w:val="12"/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>
      <w:pPr>
        <w:pStyle w:val="12"/>
        <w:numPr>
          <w:ilvl w:val="0"/>
          <w:numId w:val="2"/>
        </w:numPr>
        <w:ind w:left="0" w:firstLine="709"/>
        <w:rPr>
          <w:rFonts w:cs="Arial"/>
        </w:rPr>
      </w:pPr>
      <w:r>
        <w:rPr>
          <w:rFonts w:cs="Arial"/>
        </w:rPr>
        <w:t>обеспечение успешного выступления Поповских спортсменов на районных и областных спортивных соревнованиях;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 обеспечение эффективного использования  спортивных объектов.  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Целевые индикаторы и показатели подпрограммы: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- Доля граждан Поповского сельского поселения, систематически занимающихся физической культурой и спортом, в общей численности населения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-Количество мероприятий направленных на пропаганду физкультуры и спорта. 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Подпрограмма реализуется в 1 этап продолжительностью 8 лет: 2014-2021 годы.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 итогам реализации подпрограммы ожидается достижение следующих показателей: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повышение потребности населения в активном и здоровом образе жизни;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увеличение количества физкультурных и спортивных мероприятий;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увеличение численности лиц, систематически занимающихся физической культурой и спортом на территории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улучшение информационно-методического обеспечения и пропаганды физической культуры, спорта и здорового образа жизни.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8.4. ХАРАКТЕРИСТИКА ОСНОВНЫХ МЕРОПРИЯТИЙ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Основным мероприятием подпрограммы является: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Финансовое обеспечение деятельности в области физкультуры и спорта.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Сроки реализации: 2014-2021 годы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Исполнитель мероприятий: Администрация Поповского сельского поселения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</w:rPr>
        <w:t xml:space="preserve">В рамках основных  </w:t>
      </w:r>
      <w:r>
        <w:rPr>
          <w:rFonts w:cs="Arial"/>
          <w:color w:val="000000"/>
        </w:rPr>
        <w:t>мероприятий будет осуществлено: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color w:val="000000"/>
        </w:rPr>
        <w:t>- Участие Поповских спортсменов в</w:t>
      </w:r>
      <w:r>
        <w:rPr>
          <w:rFonts w:cs="Arial"/>
        </w:rPr>
        <w:t xml:space="preserve"> районных и областных спортивных мероприятиях;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Оснащение сборных команд Поповского сельского поселения по видам спорта необходимым спортивным оборудованием и инвентарем для успешного выступления.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Основное мероприятие направлено на достижение показателей: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>
      <w:pPr>
        <w:pStyle w:val="12"/>
        <w:numPr>
          <w:ilvl w:val="0"/>
          <w:numId w:val="3"/>
        </w:numPr>
        <w:ind w:left="0" w:firstLine="709"/>
        <w:rPr>
          <w:rFonts w:cs="Arial"/>
        </w:rPr>
      </w:pPr>
      <w:r>
        <w:rPr>
          <w:rFonts w:cs="Arial"/>
        </w:rPr>
        <w:t>численность лиц, систематически занимающихся физической культурой и спортом.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- Увеличится количество проведенных физкультурно-оздоровительных и спортивно-массовых мероприятий, проводимых на территории Поповского сельского поселения;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>- Улучшение результатов участия команд Поповского сельского поселения по видам спорта на соревнованиях зонального и областного уровня;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12"/>
        <w:ind w:left="0" w:firstLine="709"/>
        <w:rPr>
          <w:rFonts w:cs="Arial"/>
        </w:rPr>
      </w:pPr>
      <w:r>
        <w:rPr>
          <w:rFonts w:cs="Arial"/>
        </w:rPr>
        <w:t xml:space="preserve">8.5 ОСНОВНЫЕ МЕРЫ МУНИЦИПАЛЬНОГО И ПРАВОВОГО РЕГУЛИРОВАНИЯ ПОДПРОГРАММЫ 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Комплексное управление реализацией Подпрограммы осуществляет ответственный исполнитель  программы – администрация Поповского сельского поселения.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 программы в рамках своей компетенции: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6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вносит в установленном порядке  предложения, связанные с корректировкой Подпрограммы.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ind w:left="0" w:firstLine="709"/>
        <w:rPr>
          <w:rFonts w:cs="Arial"/>
        </w:rPr>
      </w:pPr>
      <w:r>
        <w:rPr>
          <w:rFonts w:cs="Arial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рамках </w:t>
      </w:r>
      <w:r>
        <w:rPr>
          <w:rFonts w:cs="Arial"/>
          <w:kern w:val="2"/>
        </w:rPr>
        <w:t xml:space="preserve"> подпрограммы </w:t>
      </w:r>
      <w:r>
        <w:rPr>
          <w:rFonts w:cs="Arial"/>
        </w:rPr>
        <w:t xml:space="preserve">«Финансовое обеспечение деятельности в области физкультуры и спорта.»  муниципальной программы Поповского сельского поселения «Развитие физической культуры и спорта » участие  общественных, научных и иных организаций, а также внебюджетных фондов, юридических и физических лиц не предусмотрено.  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8.7. ФИНАНСОВЫЕ ОБЕСПЕЧЕНИЕ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8.8. Анализ рисков реализации подпрограммы и описание мер управления рисками реализации подпрограммы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рискам реализации подпрограммы следует отнести: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непредвиденные риски, связанные с кризисными явлениями в экономике Поповского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2" w:leader="none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8.9. Оценка эффективности реализации подпрограммы 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</w:rPr>
        <w:t>Оценка эффективности реализации подпрограммы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57175"/>
            <wp:effectExtent l="0" t="0" r="0" b="0"/>
            <wp:docPr id="1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57175"/>
            <wp:effectExtent l="0" t="0" r="0" b="0"/>
            <wp:docPr id="1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209550" cy="257175"/>
            <wp:effectExtent l="0" t="0" r="0" b="0"/>
            <wp:docPr id="1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61925" cy="219075"/>
            <wp:effectExtent l="0" t="0" r="0" b="0"/>
            <wp:docPr id="1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371600" cy="257175"/>
            <wp:effectExtent l="0" t="0" r="0" b="0"/>
            <wp:docPr id="1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457325" cy="257175"/>
            <wp:effectExtent l="0" t="0" r="0" b="0"/>
            <wp:docPr id="1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57175"/>
            <wp:effectExtent l="0" t="0" r="0" b="0"/>
            <wp:docPr id="1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57175" cy="257175"/>
            <wp:effectExtent l="0" t="0" r="0" b="0"/>
            <wp:docPr id="1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подпрограммы 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57175"/>
            <wp:effectExtent l="0" t="0" r="0" b="0"/>
            <wp:docPr id="2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подпрограммы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2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2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 </w:t>
      </w:r>
    </w:p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W w:w="1454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15"/>
        <w:gridCol w:w="156"/>
        <w:gridCol w:w="2393"/>
        <w:gridCol w:w="1703"/>
        <w:gridCol w:w="1"/>
        <w:gridCol w:w="279"/>
        <w:gridCol w:w="995"/>
        <w:gridCol w:w="1"/>
        <w:gridCol w:w="281"/>
        <w:gridCol w:w="851"/>
        <w:gridCol w:w="1"/>
        <w:gridCol w:w="375"/>
        <w:gridCol w:w="473"/>
        <w:gridCol w:w="1"/>
        <w:gridCol w:w="637"/>
        <w:gridCol w:w="212"/>
        <w:gridCol w:w="2"/>
        <w:gridCol w:w="757"/>
        <w:gridCol w:w="90"/>
        <w:gridCol w:w="2"/>
        <w:gridCol w:w="759"/>
        <w:gridCol w:w="230"/>
        <w:gridCol w:w="1"/>
        <w:gridCol w:w="644"/>
        <w:gridCol w:w="205"/>
        <w:gridCol w:w="2"/>
        <w:gridCol w:w="913"/>
        <w:gridCol w:w="46"/>
        <w:gridCol w:w="814"/>
      </w:tblGrid>
      <w:tr>
        <w:trPr>
          <w:trHeight w:val="315" w:hRule="atLeast"/>
        </w:trPr>
        <w:tc>
          <w:tcPr>
            <w:tcW w:w="1871" w:type="dxa"/>
            <w:gridSpan w:val="2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  <w:bookmarkStart w:id="0" w:name="RANGE!A1%3AJ36"/>
            <w:bookmarkStart w:id="1" w:name="RANGE!A1%3AJ36"/>
            <w:bookmarkEnd w:id="1"/>
          </w:p>
        </w:tc>
        <w:tc>
          <w:tcPr>
            <w:tcW w:w="2393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2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1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871" w:type="dxa"/>
            <w:gridSpan w:val="2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393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2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1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7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8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>
        <w:trPr>
          <w:trHeight w:val="683" w:hRule="atLeast"/>
        </w:trPr>
        <w:tc>
          <w:tcPr>
            <w:tcW w:w="14539" w:type="dxa"/>
            <w:gridSpan w:val="29"/>
            <w:tcBorders/>
            <w:shd w:color="auto" w:fill="auto" w:val="clear"/>
          </w:tcPr>
          <w:p>
            <w:pPr>
              <w:pStyle w:val="Normal"/>
              <w:ind w:hanging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Сведения  о показателях (индикаторах) муниципальной программы Поповского сельского поселения «Развитие физической культуры и спорта » подпрограмм муниципальной программы и их значения </w:t>
            </w:r>
          </w:p>
        </w:tc>
      </w:tr>
      <w:tr>
        <w:trPr>
          <w:trHeight w:val="315" w:hRule="atLeast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  изм.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97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1575" w:hRule="atLeast"/>
        </w:trPr>
        <w:tc>
          <w:tcPr>
            <w:tcW w:w="18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09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2020г.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18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453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Поповского сельского поселения </w:t>
            </w:r>
            <w:r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>
        <w:trPr>
          <w:trHeight w:val="315" w:hRule="atLeast"/>
        </w:trPr>
        <w:tc>
          <w:tcPr>
            <w:tcW w:w="145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>
              <w:rPr>
                <w:rFonts w:cs="Arial"/>
                <w:sz w:val="20"/>
                <w:szCs w:val="20"/>
              </w:rPr>
              <w:t>«Финансовое обеспечение муниципального казенного учреждения физической культуры и спорта Поповского сельского поселения «Спорт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>
        <w:trPr>
          <w:trHeight w:val="315" w:hRule="atLeast"/>
        </w:trPr>
        <w:tc>
          <w:tcPr>
            <w:tcW w:w="145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</w:t>
            </w:r>
            <w:r>
              <w:rPr>
                <w:rFonts w:cs="Arial"/>
                <w:sz w:val="20"/>
                <w:szCs w:val="20"/>
              </w:rPr>
              <w:t xml:space="preserve"> Финансовое обеспечение деятельности в области физкультуры и спорта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</w:p>
        </w:tc>
      </w:tr>
      <w:tr>
        <w:trPr>
          <w:trHeight w:val="315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2"/>
              <w:ind w:left="0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Доля граждан Поповского сельского поселения, систематически занимающихся физической культурой и спортом, в общей численности населения</w:t>
            </w:r>
          </w:p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  <w:r>
        <w:br w:type="page"/>
      </w:r>
    </w:p>
    <w:tbl>
      <w:tblPr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7"/>
        <w:gridCol w:w="2127"/>
        <w:gridCol w:w="2408"/>
        <w:gridCol w:w="1417"/>
        <w:gridCol w:w="992"/>
        <w:gridCol w:w="992"/>
        <w:gridCol w:w="992"/>
        <w:gridCol w:w="992"/>
        <w:gridCol w:w="1134"/>
        <w:gridCol w:w="849"/>
        <w:gridCol w:w="855"/>
      </w:tblGrid>
      <w:tr>
        <w:trPr>
          <w:trHeight w:val="780" w:hRule="atLeast"/>
        </w:trPr>
        <w:tc>
          <w:tcPr>
            <w:tcW w:w="14565" w:type="dxa"/>
            <w:gridSpan w:val="11"/>
            <w:tcBorders/>
            <w:shd w:fill="auto" w:val="clear"/>
          </w:tcPr>
          <w:p>
            <w:pPr>
              <w:pStyle w:val="Normal"/>
              <w:pageBreakBefore/>
              <w:ind w:hanging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2</w:t>
            </w:r>
          </w:p>
        </w:tc>
      </w:tr>
      <w:tr>
        <w:trPr>
          <w:trHeight w:val="945" w:hRule="atLeast"/>
        </w:trPr>
        <w:tc>
          <w:tcPr>
            <w:tcW w:w="14565" w:type="dxa"/>
            <w:gridSpan w:val="11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Расходы бюджета на реализацию муниципальной программы  Поповского сельского поселения  "Развитие физической культуры и спорта" </w:t>
            </w:r>
          </w:p>
        </w:tc>
      </w:tr>
      <w:tr>
        <w:trPr>
          <w:trHeight w:val="754" w:hRule="atLeast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  <w:r>
              <w:rPr>
                <w:rFonts w:cs="Arial"/>
                <w:sz w:val="20"/>
                <w:szCs w:val="20"/>
              </w:rPr>
              <w:t xml:space="preserve"> Финансовое обеспечение деятельности в области физкультуры и спорта 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8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 бюджета по годам реализации муниципальной программы, тыс. руб.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375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1210,12452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75" w:hRule="atLeast"/>
        </w:trPr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1210,12452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75" w:hRule="atLeast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в области физкультуры и спорта.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1210,12452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75" w:hRule="atLeast"/>
        </w:trPr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1210,12452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jc w:val="left"/>
        <w:rPr/>
      </w:pPr>
      <w:r>
        <w:rPr/>
      </w:r>
    </w:p>
    <w:tbl>
      <w:tblPr>
        <w:tblW w:w="14176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583"/>
        <w:gridCol w:w="975"/>
        <w:gridCol w:w="1700"/>
        <w:gridCol w:w="1416"/>
        <w:gridCol w:w="1276"/>
        <w:gridCol w:w="991"/>
        <w:gridCol w:w="850"/>
        <w:gridCol w:w="991"/>
        <w:gridCol w:w="991"/>
        <w:gridCol w:w="1133"/>
        <w:gridCol w:w="1133"/>
        <w:gridCol w:w="7"/>
        <w:gridCol w:w="854"/>
      </w:tblGrid>
      <w:tr>
        <w:trPr>
          <w:trHeight w:val="955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317" w:type="dxa"/>
            <w:gridSpan w:val="12"/>
            <w:tcBorders/>
            <w:shd w:fill="auto" w:val="clear"/>
          </w:tcPr>
          <w:p>
            <w:pPr>
              <w:pStyle w:val="Normal"/>
              <w:ind w:hanging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Приложение 3</w:t>
            </w:r>
          </w:p>
        </w:tc>
      </w:tr>
      <w:tr>
        <w:trPr>
          <w:trHeight w:val="683" w:hRule="atLeast"/>
        </w:trPr>
        <w:tc>
          <w:tcPr>
            <w:tcW w:w="14175" w:type="dxa"/>
            <w:gridSpan w:val="14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Поповского сельского поселения "Развитие физической культуры и спорта"  __________________________________________________________________________________</w:t>
            </w:r>
          </w:p>
        </w:tc>
      </w:tr>
      <w:tr>
        <w:trPr>
          <w:trHeight w:val="315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1040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 (первый год реализации)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 (второй год реализации)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2016 (третий год реализации)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2017 (четвертый год реализации)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2018 (пятый год реализации)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2020(седьмой год реализации)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2021(восьмой год реализации)</w:t>
            </w:r>
          </w:p>
        </w:tc>
      </w:tr>
      <w:tr>
        <w:trPr>
          <w:trHeight w:val="31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Муниципальная программа Поповского сельского поселения 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«Развитие физической культуры и спорта» на 2014-2021годы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15810,50452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1210,12452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2089,2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2554,05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145" w:firstLine="56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145" w:firstLine="56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15640,50452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1210,12452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2089,2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2434,05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Финансовое обеспечение деятельности в области физкультуры и спорта.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15810,50452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1210,12452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2089,2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2554,05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2552,1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145" w:firstLine="56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26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-145" w:firstLine="56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firstLine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15640,50452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1210,12452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2089,2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2434,05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1197,4</w:t>
            </w:r>
          </w:p>
          <w:p>
            <w:pPr>
              <w:pStyle w:val="Normal"/>
              <w:ind w:right="-145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45" w:firstLine="56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4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1177,4</w:t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hanging="0"/>
        <w:rPr/>
      </w:pPr>
      <w:r>
        <w:rPr/>
      </w:r>
    </w:p>
    <w:sectPr>
      <w:type w:val="continuous"/>
      <w:pgSz w:w="11906" w:h="16838"/>
      <w:pgMar w:left="1701" w:right="567" w:header="0" w:top="2268" w:footer="0" w:bottom="56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11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66cb7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66cb7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766c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766c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766cb7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rsid w:val="00766cb7"/>
    <w:rPr>
      <w:color w:val="0000FF"/>
      <w:u w:val="none"/>
    </w:rPr>
  </w:style>
  <w:style w:type="character" w:styleId="Style11" w:customStyle="1">
    <w:name w:val="Абзац списка Знак"/>
    <w:link w:val="a4"/>
    <w:qFormat/>
    <w:locked/>
    <w:rsid w:val="008734ef"/>
    <w:rPr>
      <w:lang w:val="ru-RU" w:eastAsia="ru-RU" w:bidi="ar-SA"/>
    </w:rPr>
  </w:style>
  <w:style w:type="character" w:styleId="Style12" w:customStyle="1">
    <w:name w:val="Текст выноски Знак"/>
    <w:link w:val="a6"/>
    <w:qFormat/>
    <w:rsid w:val="008734ef"/>
    <w:rPr>
      <w:rFonts w:ascii="Tahoma" w:hAnsi="Tahoma" w:eastAsia="Calibri" w:cs="Tahoma"/>
      <w:sz w:val="16"/>
      <w:szCs w:val="16"/>
      <w:lang w:val="ru-RU" w:eastAsia="ru-RU" w:bidi="ar-SA"/>
    </w:rPr>
  </w:style>
  <w:style w:type="character" w:styleId="11" w:customStyle="1">
    <w:name w:val="Заголовок 1 Знак"/>
    <w:link w:val="1"/>
    <w:qFormat/>
    <w:rsid w:val="00140509"/>
    <w:rPr>
      <w:rFonts w:ascii="Arial" w:hAnsi="Arial" w:cs="Arial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rsid w:val="00140509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rsid w:val="00140509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rsid w:val="00140509"/>
    <w:rPr>
      <w:rFonts w:ascii="Arial" w:hAnsi="Arial"/>
      <w:b/>
      <w:bCs/>
      <w:sz w:val="26"/>
      <w:szCs w:val="28"/>
    </w:rPr>
  </w:style>
  <w:style w:type="character" w:styleId="HTMLVariable">
    <w:name w:val="HTML Variable"/>
    <w:qFormat/>
    <w:rsid w:val="00766cb7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3" w:customStyle="1">
    <w:name w:val="Текст примечания Знак"/>
    <w:link w:val="a8"/>
    <w:qFormat/>
    <w:rsid w:val="00140509"/>
    <w:rPr>
      <w:rFonts w:ascii="Courier" w:hAnsi="Courier"/>
      <w:sz w:val="22"/>
    </w:rPr>
  </w:style>
  <w:style w:type="character" w:styleId="Style14" w:customStyle="1">
    <w:name w:val="Верхний колонтитул Знак"/>
    <w:link w:val="ab"/>
    <w:qFormat/>
    <w:rsid w:val="00140509"/>
    <w:rPr>
      <w:rFonts w:ascii="Arial" w:hAnsi="Arial"/>
      <w:sz w:val="24"/>
      <w:szCs w:val="24"/>
    </w:rPr>
  </w:style>
  <w:style w:type="character" w:styleId="Style15" w:customStyle="1">
    <w:name w:val="Нижний колонтитул Знак"/>
    <w:link w:val="ad"/>
    <w:qFormat/>
    <w:rsid w:val="00140509"/>
    <w:rPr>
      <w:rFonts w:ascii="Arial" w:hAnsi="Arial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8734ef"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2" w:customStyle="1">
    <w:name w:val="Абзац списка1"/>
    <w:basedOn w:val="Normal"/>
    <w:qFormat/>
    <w:rsid w:val="008734ef"/>
    <w:pPr>
      <w:ind w:left="720" w:firstLine="567"/>
    </w:pPr>
    <w:rPr/>
  </w:style>
  <w:style w:type="paragraph" w:styleId="Western" w:customStyle="1">
    <w:name w:val="western"/>
    <w:basedOn w:val="Normal"/>
    <w:qFormat/>
    <w:rsid w:val="008734ef"/>
    <w:pPr>
      <w:spacing w:beforeAutospacing="1" w:afterAutospacing="1"/>
    </w:pPr>
    <w:rPr/>
  </w:style>
  <w:style w:type="paragraph" w:styleId="ConsPlusNormal" w:customStyle="1">
    <w:name w:val="ConsPlusNormal"/>
    <w:qFormat/>
    <w:rsid w:val="008734ef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link w:val="a5"/>
    <w:qFormat/>
    <w:rsid w:val="008734ef"/>
    <w:pPr>
      <w:spacing w:before="0" w:after="0"/>
      <w:ind w:left="720" w:firstLine="567"/>
      <w:contextualSpacing/>
    </w:pPr>
    <w:rPr/>
  </w:style>
  <w:style w:type="paragraph" w:styleId="BalloonText">
    <w:name w:val="Balloon Text"/>
    <w:basedOn w:val="Normal"/>
    <w:link w:val="a7"/>
    <w:qFormat/>
    <w:rsid w:val="008734ef"/>
    <w:pPr/>
    <w:rPr>
      <w:rFonts w:ascii="Tahoma" w:hAnsi="Tahoma" w:cs="Tahoma"/>
      <w:sz w:val="16"/>
      <w:szCs w:val="16"/>
    </w:rPr>
  </w:style>
  <w:style w:type="paragraph" w:styleId="Msolistparagraphbullet2gif" w:customStyle="1">
    <w:name w:val="msolistparagraphbullet2.gif"/>
    <w:basedOn w:val="Normal"/>
    <w:qFormat/>
    <w:rsid w:val="008734ef"/>
    <w:pPr>
      <w:spacing w:beforeAutospacing="1" w:afterAutospacing="1"/>
    </w:pPr>
    <w:rPr/>
  </w:style>
  <w:style w:type="paragraph" w:styleId="Annotationtext">
    <w:name w:val="annotation text"/>
    <w:basedOn w:val="Normal"/>
    <w:link w:val="a9"/>
    <w:qFormat/>
    <w:rsid w:val="00766cb7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766cb7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Style21">
    <w:name w:val="Header"/>
    <w:basedOn w:val="Normal"/>
    <w:link w:val="ac"/>
    <w:rsid w:val="001405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e"/>
    <w:rsid w:val="001405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pplication" w:customStyle="1">
    <w:name w:val="Application!Приложение"/>
    <w:qFormat/>
    <w:rsid w:val="00766cb7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766cb7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766cb7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4050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4DA9-ED55-49ED-8317-6BCFFE3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Application>LibreOffice/6.2.4.2$Windows_X86_64 LibreOffice_project/2412653d852ce75f65fbfa83fb7e7b669a126d64</Application>
  <Pages>16</Pages>
  <Words>3995</Words>
  <Characters>30495</Characters>
  <CharactersWithSpaces>34525</CharactersWithSpaces>
  <Paragraphs>592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2017-11-30T12:00:00Z</dcterms:created>
  <dc:creator>Малинина Юлия Н</dc:creator>
  <dc:description/>
  <dc:language>ru-RU</dc:language>
  <cp:lastModifiedBy/>
  <cp:lastPrinted>2019-03-04T12:36:00Z</cp:lastPrinted>
  <dcterms:modified xsi:type="dcterms:W3CDTF">2020-12-28T16:09:37Z</dcterms:modified>
  <cp:revision>58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